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96401">
            <w:r>
              <w:rPr>
                <w:rStyle w:val="Hyperlink"/>
              </w:rPr>
              <w:t>Indicador - Nº de Egresados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_Toc3096401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96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_Toc3096402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96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_Toc3096403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964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_Toc3096404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96401" w:id="1"/>
      <w:r>
        <w:t>Indicador - Nº de Egresados Extranjeros</w:t>
      </w:r>
      <w:bookmarkEnd w:id="1"/>
    </w:p>
    <w:p>
      <w:pPr>
        <w:pStyle w:val="DiccionarioT2"/>
      </w:pPr>
      <w:bookmarkStart w:name="_Toc3096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egresados cuya nacionalidad es distinta de la española (código 724)</w:t>
      </w:r>
    </w:p>
    <w:p>
      <w:pPr>
        <w:pStyle w:val="DiccionarioT2"/>
      </w:pPr>
      <w:bookmarkStart w:name="_Toc3096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Y se hayan egresado (mismo criterio que para calcular los egresados, solo que además se mira su nacionalidad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0964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none"/>
      <w:lvlText w:val="%1."/>
      <w:lvlJc w:val="left"/>
      <w:pPr>
        <w:ind w:left="960" w:hanging="360"/>
      </w:p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