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339601">
            <w:r>
              <w:rPr>
                <w:rStyle w:val="Hyperlink"/>
              </w:rPr>
              <w:t>Indicador - Tasa de abandono tras 3er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_Toc5339601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396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_Toc5339602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3396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_Toc5339603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339601" w:id="1"/>
      <w:r>
        <w:t>Indicador - Tasa de abandono tras 3er año a tiempo completo</w:t>
      </w:r>
      <w:bookmarkEnd w:id="1"/>
    </w:p>
    <w:p>
      <w:pPr>
        <w:pStyle w:val="DiccionarioT2"/>
      </w:pPr>
      <w:bookmarkStart w:name="_Toc53396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con dedicación a tiempo completo, que sigue matriculado en el mismo estudio en X+1 y X+2 y NO matriculados en ese estudio en X+3 ni X+4  / Doctorandos de nuevo ingreso en X, con dedicación a tiempo completo</w:t>
      </w:r>
    </w:p>
    <w:p>
      <w:pPr>
        <w:pStyle w:val="DiccionarioT2"/>
      </w:pPr>
      <w:bookmarkStart w:name="_Toc53396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completo, que sigue matriculado en el mismo estudio en X+1 y X+2 y no matriculados en ese estudio en X+3 ni X+4.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