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677131">
            <w:r>
              <w:rPr>
                <w:rStyle w:val="Hyperlink"/>
              </w:rPr>
              <w:t>Indicador - Tasa de abandono tras 1er año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_Toc3677131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6771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_Toc3677132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6771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_Toc3677133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6771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_Toc3677134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677131" w:id="1"/>
      <w:r>
        <w:t>Indicador - Tasa de abandono tras 1er año a tiempo parcial</w:t>
      </w:r>
      <w:bookmarkEnd w:id="1"/>
    </w:p>
    <w:p>
      <w:pPr>
        <w:pStyle w:val="DiccionarioT2"/>
      </w:pPr>
      <w:bookmarkStart w:name="_Toc36771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 de nuevo ingreso en X, con dedicación a tiempo parcial, y NO matriculados en ese estudio universitario en X+1 ni  en X+2  /  Doctorandos de nuevo ingreso en X, con dedicación a tiempo parcial</w:t>
      </w:r>
    </w:p>
    <w:p>
      <w:pPr>
        <w:pStyle w:val="DiccionarioT2"/>
      </w:pPr>
      <w:bookmarkStart w:name="_Toc36771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parcial, y no matriculados en ese estudio en X+1 ni X+2.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Año académico.</w:t>
      </w:r>
    </w:p>
    <w:p>
      <w:pPr>
        <w:pStyle w:val="DiccionarioT2"/>
      </w:pPr>
      <w:bookmarkStart w:name="_Toc36771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