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104961">
            <w:r>
              <w:rPr>
                <w:rStyle w:val="Hyperlink"/>
              </w:rPr>
              <w:t>Indicador - Nº de Estudiantes Extranjeros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_Toc7104961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10496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_Toc7104962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10496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_Toc7104963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104961" w:id="1"/>
      <w:r>
        <w:t>Indicador - Nº de Estudiantes Extranjeros</w:t>
      </w:r>
      <w:bookmarkEnd w:id="1"/>
    </w:p>
    <w:p>
      <w:pPr>
        <w:pStyle w:val="DiccionarioT2"/>
      </w:pPr>
      <w:bookmarkStart w:name="_Toc710496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estudiantes matriculados cuya nacionalidad es distinta de la española (código 724)</w:t>
      </w:r>
    </w:p>
    <w:p>
      <w:pPr>
        <w:pStyle w:val="DiccionarioT2"/>
      </w:pPr>
      <w:bookmarkStart w:name="_Toc710496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Conteo del número de estudiantes que cumplan los siguientes criterios: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=PSC (Grado y Máster)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País de Nacionalidad &lt;&gt; 724 (Española).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