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100261">
            <w:r>
              <w:rPr>
                <w:rStyle w:val="Hyperlink"/>
              </w:rPr>
              <w:t>Indicador - Numerador tasa de graduación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_Toc8100261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002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_Toc8100262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002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_Toc8100263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002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_Toc8100264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100261" w:id="1"/>
      <w:r>
        <w:t>Indicador - Numerador tasa de graduación a tiempo parcial</w:t>
      </w:r>
      <w:bookmarkEnd w:id="1"/>
    </w:p>
    <w:p>
      <w:pPr>
        <w:pStyle w:val="DiccionarioT2"/>
      </w:pPr>
      <w:bookmarkStart w:name="_Toc81002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estudiantes de nuevo ingreso de la cohorte de inicio, con dedicación a tiempo parcial, que han tardado 6 cursos</w:t>
      </w:r>
    </w:p>
    <w:p>
      <w:pPr>
        <w:pStyle w:val="DiccionarioT2"/>
      </w:pPr>
      <w:bookmarkStart w:name="_Toc81002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 y el número de meses entre la fecha de lectura de la tesis y la fecha de la primera matrícula es menor o igual a 72 (6 años) teniendo en cuenta el tiempo de las prórrogas.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1002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