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553671">
            <w:r>
              <w:rPr>
                <w:rStyle w:val="Hyperlink"/>
              </w:rPr>
              <w:t>Indicador - Numerador tasa de graduación a tiempo parcial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_Toc5553671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55367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_Toc5553672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55367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_Toc5553673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553671" w:id="1"/>
      <w:r>
        <w:t>Indicador - Numerador tasa de graduación a tiempo parcial</w:t>
      </w:r>
      <w:bookmarkEnd w:id="1"/>
    </w:p>
    <w:p>
      <w:pPr>
        <w:pStyle w:val="DiccionarioT2"/>
      </w:pPr>
      <w:bookmarkStart w:name="_Toc555367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tesis leídas de los/as estudiantes de nuevo ingreso de la cohorte de inicio, con dedicación a tiempo parcial, que han tardado 6 cursos</w:t>
      </w:r>
    </w:p>
    <w:p>
      <w:pPr>
        <w:pStyle w:val="DiccionarioT2"/>
      </w:pPr>
      <w:bookmarkStart w:name="_Toc555367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Conteo del número de registros que cumplan que la fecha de presentación de lectura de la tesis esté dentro del rango de fechas de análisis y el número de meses entre la fecha de lectura de la tesis y la fecha de la primera matrícula es menor o igual a 72 (6 años) teniendo en cuenta el tiempo de las prórrogas. (Actualmente no se están teniendo en cuenta, pero en el futuro se tendrán).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