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88231">
            <w:r>
              <w:rPr>
                <w:rStyle w:val="Hyperlink"/>
              </w:rPr>
              <w:t>Indicador - Tasa de idoneidad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_Toc9888231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882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_Toc9888232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882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_Toc9888233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882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_Toc9888234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88231" w:id="1"/>
      <w:r>
        <w:t>Indicador - Tasa de idoneidad a tiempo completo</w:t>
      </w:r>
      <w:bookmarkEnd w:id="1"/>
    </w:p>
    <w:p>
      <w:pPr>
        <w:pStyle w:val="DiccionarioT2"/>
      </w:pPr>
      <w:bookmarkStart w:name="_Toc98882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 de nuevo ingreso de la cohorte de inicio, con dediación a tiempo completo, que han tardado 3 cursos</w:t>
      </w:r>
    </w:p>
    <w:p>
      <w:pPr>
        <w:pStyle w:val="DiccionarioT2"/>
      </w:pPr>
      <w:bookmarkStart w:name="_Toc98882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 idoneidad a tiempo completo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completo).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están teniendo en cuenta en los sistemas cuyo origen son UXXI,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8882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26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