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203461">
            <w:r>
              <w:rPr>
                <w:rStyle w:val="Hyperlink"/>
              </w:rPr>
              <w:t>Indicador - Tasa de idoneidad a tiempo completo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_Toc1203461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2034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_Toc1203462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20346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_Toc1203463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203461" w:id="1"/>
      <w:r>
        <w:t>Indicador - Tasa de idoneidad a tiempo completo</w:t>
      </w:r>
      <w:bookmarkEnd w:id="1"/>
    </w:p>
    <w:p>
      <w:pPr>
        <w:pStyle w:val="DiccionarioT2"/>
      </w:pPr>
      <w:bookmarkStart w:name="_Toc12034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tesis leídas de los doctorandos de nuevo ingreso de la cohorte de inicio, con dediación a tiempo completo, que han tardado 3 cursos</w:t>
      </w:r>
    </w:p>
    <w:p>
      <w:pPr>
        <w:pStyle w:val="DiccionarioT2"/>
      </w:pPr>
      <w:bookmarkStart w:name="_Toc120346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Numerador de Tasa de idoneidad a tiempo completo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Estudiantes de nuevo ingreso en Doctorado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 con dedicación a tiempo completo.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Tasa de idoneidad a tiempo completo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TCL (Tercer ciclo / Doctorado).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 xml:space="preserve">Población de referencia = 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Estudiantes de nuevo ingreso en Doctorado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 con dedicación a tiempo completo.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Dedicación: La que aparece en la primera matrícula (Tiempo completo).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Prórrogas: Actualmente no están teniendo en cuenta en los sistemas cuyo origen son UXXI, pero en el futuro se tendrán.</w:t>
      </w:r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26" Type="http://schemas.openxmlformats.org/officeDocument/2006/relationships/hyperlink" Id="rId16"/>
    <Relationship TargetMode="External" Target="https://datos.uah.es/portal-bi/dictionary/PreviewConcept.action?conceptCode=10514" Type="http://schemas.openxmlformats.org/officeDocument/2006/relationships/hyperlink" Id="rId17"/>
    <Relationship TargetMode="External" Target="https://datos.uah.es/portal-bi/dictionary/PreviewConcept.action?conceptCode=10514" Type="http://schemas.openxmlformats.org/officeDocument/2006/relationships/hyperlink" Id="rId18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