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73261">
            <w:r>
              <w:rPr>
                <w:rStyle w:val="Hyperlink"/>
              </w:rPr>
              <w:t>Indicador - Numerador tasa de idoneidad a tiempo completo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_Toc173261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732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_Toc173262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732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_Toc173263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73261" w:id="1"/>
      <w:r>
        <w:t>Indicador - Numerador tasa de idoneidad a tiempo completo</w:t>
      </w:r>
      <w:bookmarkEnd w:id="1"/>
    </w:p>
    <w:p>
      <w:pPr>
        <w:pStyle w:val="DiccionarioT2"/>
      </w:pPr>
      <w:bookmarkStart w:name="_Toc1732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tesis leídas de los/as doctorandos de nuevo ingreso de la cohorte de inicio, con dedicación a tiempo completo, que han tardado 3 cursos</w:t>
      </w:r>
    </w:p>
    <w:p>
      <w:pPr>
        <w:pStyle w:val="DiccionarioT2"/>
      </w:pPr>
      <w:bookmarkStart w:name="_Toc1732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registros que cumplan que la fecha de presentación de lectura de la tesis esté dentro del rango de fechas de análisis (01/08/año - 31/07/año+1) y el número de meses entre la fecha de lectura de la tesis y la fecha de la primera matrícula es menor o igual a 36 (3 años) teniendo en cuenta el tiempo de las prórrogas (Actualmente no se están teniendo en cuenta, pero en el futuro se tendrán).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