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209831">
            <w:r>
              <w:rPr>
                <w:rStyle w:val="Hyperlink"/>
              </w:rPr>
              <w:t>Indicador - Tasa de abandono tras 2do año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_Toc1209831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2098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_Toc1209832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2098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_Toc1209833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209831" w:id="1"/>
      <w:r>
        <w:t>Indicador - Tasa de abandono tras 2do año a tiempo completo</w:t>
      </w:r>
      <w:bookmarkEnd w:id="1"/>
    </w:p>
    <w:p>
      <w:pPr>
        <w:pStyle w:val="DiccionarioT2"/>
      </w:pPr>
      <w:bookmarkStart w:name="_Toc12098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 de nuevo ingreso en X, con dedicación a tiempo completo, que sigue matriculado en el mismo estudio en X+1 y NO matriculados en ese estudio en X+2 ni X+3  /  Doctorandos de nuevo ingreso en X, con dedicación a tiempo completo.</w:t>
      </w:r>
    </w:p>
    <w:p>
      <w:pPr>
        <w:pStyle w:val="DiccionarioT2"/>
      </w:pPr>
      <w:bookmarkStart w:name="_Toc12098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 con dedicación a tiempo completo, que sigue matriculado en el mismo estudio en X+1 y no matriculados en ese estudio en X+2 ni X+3.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 con dedicación a tiempo completo.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514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