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53701">
            <w:r>
              <w:rPr>
                <w:rStyle w:val="Hyperlink"/>
              </w:rPr>
              <w:t>Indicador - Nº de preinscritos en segunda opción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_Toc6153701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537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_Toc6153702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537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_Toc6153703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5370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_Toc6153704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53701" w:id="1"/>
      <w:r>
        <w:t>Indicador - Nº de preinscritos en segunda opción</w:t>
      </w:r>
      <w:bookmarkEnd w:id="1"/>
    </w:p>
    <w:p>
      <w:pPr>
        <w:pStyle w:val="DiccionarioT2"/>
      </w:pPr>
      <w:bookmarkStart w:name="_Toc61537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solicitudes recibidas en títulos de grado y máster en segunda opción.</w:t>
      </w:r>
    </w:p>
    <w:p>
      <w:pPr>
        <w:pStyle w:val="DiccionarioT2"/>
      </w:pPr>
      <w:bookmarkStart w:name="_Toc61537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Cuenta del número de solicitudes por titulación en el curso académico de referencia en segunda opción.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  <w:r>
        <w:br/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p>
      <w:pPr>
        <w:pStyle w:val="DiccionarioT2"/>
      </w:pPr>
      <w:bookmarkStart w:name="_Toc615370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04/07/2026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