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718611">
            <w:r>
              <w:rPr>
                <w:rStyle w:val="Hyperlink"/>
              </w:rPr>
              <w:t>Indicador - Tasa Respuesta de los estudiantes con los recursos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_Toc4718611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7186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_Toc4718612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7186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_Toc4718613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718611" w:id="1"/>
      <w:r>
        <w:t>Indicador - Tasa Respuesta de los estudiantes con los recursos</w:t>
      </w:r>
      <w:bookmarkEnd w:id="1"/>
    </w:p>
    <w:p>
      <w:pPr>
        <w:pStyle w:val="DiccionarioT2"/>
      </w:pPr>
      <w:bookmarkStart w:name="_Toc47186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 del Estudiantado respecto a la satisfacción con los recursos</w:t>
      </w:r>
    </w:p>
    <w:p>
      <w:pPr>
        <w:pStyle w:val="DiccionarioT2"/>
      </w:pPr>
      <w:bookmarkStart w:name="_Toc47186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Grado y Máster = “ES_EST_RE-ENCUESTA RECURSOS”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Doctorado="ES_EST_RE_D-ENCUESTA RECURSOS"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