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57531">
            <w:r>
              <w:rPr>
                <w:rStyle w:val="Hyperlink"/>
              </w:rPr>
              <w:t>Indicador - Tasa de Respuesta: Estudiantado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_Toc1757531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57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_Toc1757532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57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_Toc1757533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575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_Toc1757534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57531" w:id="1"/>
      <w:r>
        <w:t>Indicador - Tasa de Respuesta: Estudiantado (Erasmus)</w:t>
      </w:r>
      <w:bookmarkEnd w:id="1"/>
    </w:p>
    <w:p>
      <w:pPr>
        <w:pStyle w:val="DiccionarioT2"/>
      </w:pPr>
      <w:bookmarkStart w:name="_Toc1757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Erasmus</w:t>
      </w:r>
    </w:p>
    <w:p>
      <w:pPr>
        <w:pStyle w:val="DiccionarioT2"/>
      </w:pPr>
      <w:bookmarkStart w:name="_Toc1757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7575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