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39981">
            <w:r>
              <w:rPr>
                <w:rStyle w:val="Hyperlink"/>
              </w:rPr>
              <w:t>Indicador - Satisfacción del estudiantado con la movilidad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_Toc3939981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39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_Toc3939982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399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_Toc3939983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399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_Toc3939984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39981" w:id="1"/>
      <w:r>
        <w:t>Indicador - Satisfacción del estudiantado con la movilidad (Erasmus)</w:t>
      </w:r>
      <w:bookmarkEnd w:id="1"/>
    </w:p>
    <w:p>
      <w:pPr>
        <w:pStyle w:val="DiccionarioT2"/>
      </w:pPr>
      <w:bookmarkStart w:name="_Toc3939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Erasmus</w:t>
      </w:r>
    </w:p>
    <w:p>
      <w:pPr>
        <w:pStyle w:val="DiccionarioT2"/>
      </w:pPr>
      <w:bookmarkStart w:name="_Toc39399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9399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