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221071">
            <w:r>
              <w:rPr>
                <w:rStyle w:val="Hyperlink"/>
              </w:rPr>
              <w:t>Indicador - Tasa de Respuesta: Estudiantado (Prácticas)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_Toc6221071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210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_Toc6221072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210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_Toc6221073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210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_Toc6221074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221071" w:id="1"/>
      <w:r>
        <w:t>Indicador - Tasa de Respuesta: Estudiantado (Prácticas)</w:t>
      </w:r>
      <w:bookmarkEnd w:id="1"/>
    </w:p>
    <w:p>
      <w:pPr>
        <w:pStyle w:val="DiccionarioT2"/>
      </w:pPr>
      <w:bookmarkStart w:name="_Toc62210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Prácticas</w:t>
      </w:r>
    </w:p>
    <w:p>
      <w:pPr>
        <w:pStyle w:val="DiccionarioT2"/>
      </w:pPr>
      <w:bookmarkStart w:name="_Toc62210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2210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