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150881">
            <w:r>
              <w:rPr>
                <w:rStyle w:val="Hyperlink"/>
              </w:rPr>
              <w:t>Indicador - Tasa de Respuesta: Estudiantado (Prácticas)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_Toc8150881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1508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_Toc8150882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1508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_Toc8150883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150881" w:id="1"/>
      <w:r>
        <w:t>Indicador - Tasa de Respuesta: Estudiantado (Prácticas)</w:t>
      </w:r>
      <w:bookmarkEnd w:id="1"/>
    </w:p>
    <w:p>
      <w:pPr>
        <w:pStyle w:val="DiccionarioT2"/>
      </w:pPr>
      <w:bookmarkStart w:name="_Toc81508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 Prácticas</w:t>
      </w:r>
    </w:p>
    <w:p>
      <w:pPr>
        <w:pStyle w:val="DiccionarioT2"/>
      </w:pPr>
      <w:bookmarkStart w:name="_Toc81508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“ES_PE-ENCUESTA DE SATISFACCIÓN DE PRÁCTICAS EXTERNAS”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