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4931">
            <w:r>
              <w:rPr>
                <w:rStyle w:val="Hyperlink"/>
              </w:rPr>
              <w:t>Indicador - Tasa de Respuesta: Estudiantado (Global)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_Toc514931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49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_Toc514932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49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_Toc514933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49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_Toc514934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4931" w:id="1"/>
      <w:r>
        <w:t>Indicador - Tasa de Respuesta: Estudiantado (Global)</w:t>
      </w:r>
      <w:bookmarkEnd w:id="1"/>
    </w:p>
    <w:p>
      <w:pPr>
        <w:pStyle w:val="DiccionarioT2"/>
      </w:pPr>
      <w:bookmarkStart w:name="_Toc5149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del Estudiantado</w:t>
      </w:r>
    </w:p>
    <w:p>
      <w:pPr>
        <w:pStyle w:val="DiccionarioT2"/>
      </w:pPr>
      <w:bookmarkStart w:name="_Toc5149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149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