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752421">
            <w:r>
              <w:rPr>
                <w:rStyle w:val="Hyperlink"/>
              </w:rPr>
              <w:t>Dimensiones - Dimensiones específicas de Costes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_Toc6752421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7524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_Toc6752422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752421" w:id="1"/>
      <w:r>
        <w:t>Dimensiones - Dimensiones específicas de Costes</w:t>
      </w:r>
      <w:bookmarkEnd w:id="1"/>
    </w:p>
    <w:p>
      <w:pPr>
        <w:pStyle w:val="DiccionarioT2"/>
      </w:pPr>
      <w:bookmarkStart w:name="_Toc67524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este proyecto se van a calcular los costes de docencia oficial, teniendo en cuenta datos extraídos de la herramienta utilizada para la matriculación de los estudiantes y de UXXI- Económico. Al existir herramientas específicas que calculan los costes, que están en implantación, no se van a tener en cuenta por el momento.</w:t>
      </w:r>
    </w:p>
    <w:p>
      <w:pPr>
        <w:spacing w:before="269" w:after="269"/>
        <w:ind w:left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Dimensiones específicas de costes: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van a calcular los costes de docencia y se van a poner en relación con el número de personal docente e investigador (PDI), personal de administración y servicios (PAS), estudiantes y créditos matriculados.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 esta área de análisis se incluyen las siguientes dimensiones: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Dimensión 1: Tiempo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Año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Curso académico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Dimensión 2: Clasificación orgánica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Dimensión 3: Clasificación económica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