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860441">
            <w:r>
              <w:rPr>
                <w:rStyle w:val="Hyperlink"/>
              </w:rPr>
              <w:t>Indicador - Cobertura de los gastos corrientes (0,0x 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_Toc1860441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8604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_Toc1860442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8604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_Toc1860443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860441" w:id="1"/>
      <w:r>
        <w:t>Indicador - Cobertura de los gastos corrientes (0,0x %)</w:t>
      </w:r>
      <w:bookmarkEnd w:id="1"/>
    </w:p>
    <w:p>
      <w:pPr>
        <w:pStyle w:val="DiccionarioT2"/>
      </w:pPr>
      <w:bookmarkStart w:name="_Toc18604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indicador expone el grado de cobertura de los gastos de gestión ordinaria por los ingresos de gestión ordinaria.</w:t>
      </w:r>
    </w:p>
    <w:p>
      <w:pPr>
        <w:pStyle w:val="DiccionarioT2"/>
      </w:pPr>
      <w:bookmarkStart w:name="_Toc18604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Gastos de gestión ordinaria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Ingresos de gestión ordinaria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847" Type="http://schemas.openxmlformats.org/officeDocument/2006/relationships/hyperlink" Id="rId16"/>
    <Relationship TargetMode="External" Target="PreviewConcept.action?conceptCode=10846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