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590951">
            <w:r>
              <w:rPr>
                <w:rStyle w:val="Hyperlink"/>
              </w:rPr>
              <w:t>Indicador - Gastos de gestión ordinaria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_Toc3590951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90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_Toc3590952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90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_Toc3590953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909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_Toc3590954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590951" w:id="1"/>
      <w:r>
        <w:t>Indicador - Gastos de gestión ordinaria (€)</w:t>
      </w:r>
      <w:bookmarkEnd w:id="1"/>
    </w:p>
    <w:p>
      <w:pPr>
        <w:pStyle w:val="DiccionarioT2"/>
      </w:pPr>
      <w:bookmarkStart w:name="_Toc3590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Gastos de gestión ordinaria de la Universidad.</w:t>
      </w:r>
    </w:p>
    <w:p>
      <w:pPr>
        <w:pStyle w:val="DiccionarioT2"/>
      </w:pPr>
      <w:bookmarkStart w:name="_Toc3590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todos los gastos de gestión ordinaria (Gastos de personal, transferencias y subvenciones concedidas, aprovisionamientos, resto de gastos de gestión ordinaria).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5909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