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76341">
            <w:r>
              <w:rPr>
                <w:rStyle w:val="Hyperlink"/>
              </w:rPr>
              <w:t>Indicador - Ingresos de gestión ordinaria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_Toc476341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6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_Toc476342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76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_Toc476343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76341" w:id="1"/>
      <w:r>
        <w:t>Indicador - Ingresos de gestión ordinaria (€)</w:t>
      </w:r>
      <w:bookmarkEnd w:id="1"/>
    </w:p>
    <w:p>
      <w:pPr>
        <w:pStyle w:val="DiccionarioT2"/>
      </w:pPr>
      <w:bookmarkStart w:name="_Toc476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Ingresos de gestión ordinaria de la Universidad</w:t>
      </w:r>
    </w:p>
    <w:p>
      <w:pPr>
        <w:pStyle w:val="DiccionarioT2"/>
      </w:pPr>
      <w:bookmarkStart w:name="_Toc476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todos los ingresos de gestión ordinaria (Ingresos tributarios y urbanísticos, transferencias y subvenciones recibidas, ventas y prestaciones de servicios y resto de ingresos de gestión ordinaria).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