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21711">
            <w:r>
              <w:rPr>
                <w:rStyle w:val="Hyperlink"/>
              </w:rPr>
              <w:t>Indicador - Cash-Flow (0,0x 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_Toc721711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17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_Toc721712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17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_Toc721713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21711" w:id="1"/>
      <w:r>
        <w:t>Indicador - Cash-Flow (0,0x %)</w:t>
      </w:r>
      <w:bookmarkEnd w:id="1"/>
    </w:p>
    <w:p>
      <w:pPr>
        <w:pStyle w:val="DiccionarioT2"/>
      </w:pPr>
      <w:bookmarkStart w:name="_Toc7217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 de los “Flujos netos de efectivo por actividades de gestión” del estado de flujos de efectivo.</w:t>
      </w:r>
    </w:p>
    <w:p>
      <w:pPr>
        <w:pStyle w:val="DiccionarioT2"/>
      </w:pPr>
      <w:bookmarkStart w:name="_Toc7217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Pasivo corriente + Pasivo no corriente (incluido neto patrimonial).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Flujos netos de gestión. 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01/07/2026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