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182861">
            <w:r>
              <w:rPr>
                <w:rStyle w:val="Hyperlink"/>
              </w:rPr>
              <w:t>Indicador - Relación de endeudamiento (0,0x 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_Toc5182861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828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_Toc5182862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828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_Toc5182863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828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_Toc5182864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182861" w:id="1"/>
      <w:r>
        <w:t>Indicador - Relación de endeudamiento (0,0x %)</w:t>
      </w:r>
      <w:bookmarkEnd w:id="1"/>
    </w:p>
    <w:p>
      <w:pPr>
        <w:pStyle w:val="DiccionarioT2"/>
      </w:pPr>
      <w:bookmarkStart w:name="_Toc51828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Representa la relación existente entre el pasivo corriente y el no corriente.</w:t>
      </w:r>
    </w:p>
    <w:p>
      <w:pPr>
        <w:pStyle w:val="DiccionarioT2"/>
      </w:pPr>
      <w:bookmarkStart w:name="_Toc51828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Pasivo corriente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Pasivo no corriente 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51828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