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2609891">
            <w:r>
              <w:rPr>
                <w:rStyle w:val="Hyperlink"/>
              </w:rPr>
              <w:t>Indicador - Ratio de liquidez general (0,0x %)</w:t>
            </w:r>
            <w:r>
              <w:rPr>
                <w:noProof/>
                <w:webHidden/>
              </w:rPr>
              <w:tab/>
            </w:r>
            <w:r>
              <w:rPr>
                <w:noProof/>
                <w:webHidden/>
              </w:rPr>
              <w:fldChar w:fldCharType="begin"/>
            </w:r>
            <w:r>
              <w:rPr>
                <w:noProof/>
                <w:webHidden/>
              </w:rPr>
              <w:instrText xml:space="preserve">PAGEREF _Toc2609891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2609892">
            <w:r>
              <w:rPr>
                <w:rStyle w:val="Hyperlink"/>
              </w:rPr>
              <w:t>Descripción</w:t>
            </w:r>
            <w:r>
              <w:rPr>
                <w:noProof/>
                <w:webHidden/>
              </w:rPr>
              <w:tab/>
            </w:r>
            <w:r>
              <w:rPr>
                <w:noProof/>
                <w:webHidden/>
              </w:rPr>
              <w:fldChar w:fldCharType="begin"/>
            </w:r>
            <w:r>
              <w:rPr>
                <w:noProof/>
                <w:webHidden/>
              </w:rPr>
              <w:instrText xml:space="preserve">PAGEREF _Toc2609892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2609893">
            <w:r>
              <w:rPr>
                <w:rStyle w:val="Hyperlink"/>
              </w:rPr>
              <w:t>Forma de cálculo</w:t>
            </w:r>
            <w:r>
              <w:rPr>
                <w:noProof/>
                <w:webHidden/>
              </w:rPr>
              <w:tab/>
            </w:r>
            <w:r>
              <w:rPr>
                <w:noProof/>
                <w:webHidden/>
              </w:rPr>
              <w:fldChar w:fldCharType="begin"/>
            </w:r>
            <w:r>
              <w:rPr>
                <w:noProof/>
                <w:webHidden/>
              </w:rPr>
              <w:instrText xml:space="preserve">PAGEREF _Toc2609893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2609894">
            <w:r>
              <w:rPr>
                <w:rStyle w:val="Hyperlink"/>
              </w:rPr>
              <w:t>Artículos relacionados</w:t>
            </w:r>
            <w:r>
              <w:rPr>
                <w:noProof/>
                <w:webHidden/>
              </w:rPr>
              <w:tab/>
            </w:r>
            <w:r>
              <w:rPr>
                <w:noProof/>
                <w:webHidden/>
              </w:rPr>
              <w:fldChar w:fldCharType="begin"/>
            </w:r>
            <w:r>
              <w:rPr>
                <w:noProof/>
                <w:webHidden/>
              </w:rPr>
              <w:instrText xml:space="preserve">PAGEREF _Toc2609894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2609891" w:id="1"/>
      <w:r>
        <w:t>Indicador - Ratio de liquidez general (0,0x %)</w:t>
      </w:r>
      <w:bookmarkEnd w:id="1"/>
    </w:p>
    <w:p>
      <w:pPr>
        <w:pStyle w:val="DiccionarioT2"/>
      </w:pPr>
      <w:bookmarkStart w:name="_Toc2609892" w:id="2"/>
      <w:r>
        <w:t>Descripción</w:t>
      </w:r>
      <w:bookmarkEnd w:id="2"/>
    </w:p>
    <w:p>
      <w:pPr>
        <w:spacing w:before="269" w:after="269"/>
        <w:ind w:left="0"/>
        <w:jc w:val="left"/>
      </w:pPr>
      <w:r>
        <w:rPr>
          <w:rFonts w:ascii="Calibri" w:hAnsi="Calibri"/>
          <w:b w:val="false"/>
          <w:i w:val="false"/>
          <w:color w:val="000000"/>
          <w:sz w:val="22"/>
        </w:rPr>
        <w:t>Es un indicador de solvencia que expresa la cobertura del pasivo corriente por la totalidad del activo corriente, sin distinguir el grado de liquidez de sus componentes, cuyo grado de convertibilidad en efectivo es heterogéneo.</w:t>
      </w:r>
    </w:p>
    <w:p>
      <w:pPr>
        <w:pStyle w:val="DiccionarioT2"/>
      </w:pPr>
      <w:bookmarkStart w:name="_Toc260989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Activo corriente</w:t>
      </w:r>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Pasivo corriente.</w:t>
      </w:r>
    </w:p>
    <w:p>
      <w:pPr>
        <w:numPr>
          <w:ilvl w:val="0"/>
          <w:numId w:val="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Diaria.</w:t>
      </w:r>
    </w:p>
    <w:p>
      <w:pPr>
        <w:pStyle w:val="DiccionarioT2"/>
      </w:pPr>
      <w:bookmarkStart w:name="_Toc2609894" w:id="4"/>
      <w:r>
        <w:t>Artículos relacionados</w:t>
      </w:r>
      <w:bookmarkEnd w:id="4"/>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04/09/2026</w:t>
    </w: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2"/>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