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7736211">
            <w:r>
              <w:rPr>
                <w:rStyle w:val="Hyperlink"/>
              </w:rPr>
              <w:t>Indicador - Liquidez a corto plazo (0,0x %)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_Toc7736211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73621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_Toc7736212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73621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_Toc7736213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73621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_Toc7736214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7736211" w:id="1"/>
      <w:r>
        <w:t>Indicador - Liquidez a corto plazo (0,0x %)</w:t>
      </w:r>
      <w:bookmarkEnd w:id="1"/>
    </w:p>
    <w:p>
      <w:pPr>
        <w:pStyle w:val="DiccionarioT2"/>
      </w:pPr>
      <w:bookmarkStart w:name="_Toc773621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El indicador refleja la capacidad de la entidad para atender las obligaciones a corto plazo a partir de los fondos líquidos y derechos pendientes de cobro.</w:t>
      </w:r>
    </w:p>
    <w:p>
      <w:pPr>
        <w:pStyle w:val="DiccionarioT2"/>
      </w:pPr>
      <w:bookmarkStart w:name="_Toc773621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/>
          <w:i w:val="false"/>
          <w:color w:val="000000"/>
          <w:sz w:val="22"/>
        </w:rPr>
        <w:t>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Fondos líquidos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 + 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Derechos pendientes de cobro</w:t>
        </w:r>
      </w:hyperlink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> Pasivo corriente.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p>
      <w:pPr>
        <w:pStyle w:val="DiccionarioT2"/>
      </w:pPr>
      <w:bookmarkStart w:name="_Toc773621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838" Type="http://schemas.openxmlformats.org/officeDocument/2006/relationships/hyperlink" Id="rId16"/>
    <Relationship TargetMode="External" Target="PreviewConcept.action?conceptCode=10770" Type="http://schemas.openxmlformats.org/officeDocument/2006/relationships/hyperlink" Id="rId17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