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1091">
            <w:r>
              <w:rPr>
                <w:rStyle w:val="Hyperlink"/>
              </w:rPr>
              <w:t>Indicador - Liquidez a corto plazo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1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1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1091" w:id="1"/>
      <w:r>
        <w:t>Indicador - Liquidez a corto plazo (0,0x %)</w:t>
      </w:r>
      <w:bookmarkEnd w:id="1"/>
    </w:p>
    <w:p>
      <w:pPr>
        <w:pStyle w:val="DiccionarioT2"/>
      </w:pPr>
      <w:bookmarkStart w:name="_Toc961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refleja la capacidad de la entidad para atender las obligaciones a corto plazo a partir de los fondos líquidos y derechos pendientes de cobro.</w:t>
      </w:r>
    </w:p>
    <w:p>
      <w:pPr>
        <w:pStyle w:val="DiccionarioT2"/>
      </w:pPr>
      <w:bookmarkStart w:name="_Toc961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Fondos líquidos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pendientes de cobro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38" Type="http://schemas.openxmlformats.org/officeDocument/2006/relationships/hyperlink" Id="rId16"/>
    <Relationship TargetMode="External" Target="PreviewConcept.action?conceptCode=1077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