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0751">
            <w:r>
              <w:rPr>
                <w:rStyle w:val="Hyperlink"/>
              </w:rPr>
              <w:t>Indicador - Liquidez inmediata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_Toc530751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07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_Toc530752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07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_Toc530753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07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_Toc530754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0751" w:id="1"/>
      <w:r>
        <w:t>Indicador - Liquidez inmediata (0,0x %)</w:t>
      </w:r>
      <w:bookmarkEnd w:id="1"/>
    </w:p>
    <w:p>
      <w:pPr>
        <w:pStyle w:val="DiccionarioT2"/>
      </w:pPr>
      <w:bookmarkStart w:name="_Toc5307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Efectivo y otros activos líquidos equivalentes</w:t>
      </w:r>
    </w:p>
    <w:p>
      <w:pPr>
        <w:pStyle w:val="DiccionarioT2"/>
      </w:pPr>
      <w:bookmarkStart w:name="_Toc5307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Fondos líquidos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Pasivo corriente.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5307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838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