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17071">
            <w:r>
              <w:rPr>
                <w:rStyle w:val="Hyperlink"/>
              </w:rPr>
              <w:t>Indicador - Financiación afectada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_Toc3517071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170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_Toc3517072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170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_Toc3517073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17071" w:id="1"/>
      <w:r>
        <w:t>Indicador - Financiación afectada</w:t>
      </w:r>
      <w:bookmarkEnd w:id="1"/>
    </w:p>
    <w:p>
      <w:pPr>
        <w:pStyle w:val="DiccionarioT2"/>
      </w:pPr>
      <w:bookmarkStart w:name="_Toc35170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Saldo de los proyectos con financiación afectada.</w:t>
      </w:r>
    </w:p>
    <w:p>
      <w:pPr>
        <w:pStyle w:val="DiccionarioT2"/>
      </w:pPr>
      <w:bookmarkStart w:name="_Toc35170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SIGOTT/Otros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Importe del saldo de los proyectos y centros de ingresos con financiación afectada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