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302731">
            <w:r>
              <w:rPr>
                <w:rStyle w:val="Hyperlink"/>
              </w:rPr>
              <w:t>Indicador - Fondos Líquidos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_Toc9302731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027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_Toc9302732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027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_Toc9302733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027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_Toc9302734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302731" w:id="1"/>
      <w:r>
        <w:t>Indicador - Fondos Líquidos (€)</w:t>
      </w:r>
      <w:bookmarkEnd w:id="1"/>
    </w:p>
    <w:p>
      <w:pPr>
        <w:pStyle w:val="DiccionarioT2"/>
      </w:pPr>
      <w:bookmarkStart w:name="_Toc93027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Efectivo y otros activos líquidos equivalentes</w:t>
      </w:r>
    </w:p>
    <w:p>
      <w:pPr>
        <w:pStyle w:val="DiccionarioT2"/>
      </w:pPr>
      <w:bookmarkStart w:name="_Toc93027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</w:t>
      </w:r>
      <w:r>
        <w:rPr>
          <w:rFonts w:ascii="Calibri" w:hAnsi="Calibri"/>
          <w:b w:val="false"/>
          <w:i w:val="false"/>
          <w:color w:val="000000"/>
          <w:sz w:val="22"/>
        </w:rPr>
        <w:t>: Parte se obtiene de la Contabilidad (UXXI-EC) y el resto se obtiene de los saldos reales de los bancos (que proponemos su carga en una tabla en UXXI-EC todos los meses).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las cuentas contables 57 + 556.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Mensual.</w:t>
      </w:r>
    </w:p>
    <w:p>
      <w:pPr>
        <w:pStyle w:val="DiccionarioT2"/>
      </w:pPr>
      <w:bookmarkStart w:name="_Toc93027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