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986591">
            <w:r>
              <w:rPr>
                <w:rStyle w:val="Hyperlink"/>
              </w:rPr>
              <w:t>Indicador - Remanente de tesorería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_Toc5986591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9865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_Toc5986592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9865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_Toc5986593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98659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_Toc5986594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986591" w:id="1"/>
      <w:r>
        <w:t>Indicador - Remanente de tesorería (€)</w:t>
      </w:r>
      <w:bookmarkEnd w:id="1"/>
    </w:p>
    <w:p>
      <w:pPr>
        <w:pStyle w:val="DiccionarioT2"/>
      </w:pPr>
      <w:bookmarkStart w:name="_Toc59865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Remanente de tesorería refleja la situación de liquidez de la entidad. Es el indicador que presenta la situación financiera de la entidad si, a final de mes, tuviese que pagar todas sus deudas con sus recursos a corto plazo.</w:t>
      </w:r>
    </w:p>
    <w:p>
      <w:pPr>
        <w:pStyle w:val="DiccionarioT2"/>
      </w:pPr>
      <w:bookmarkStart w:name="_Toc59865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UXXI/Contabilidad.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El Remanente de tesorería se obtiene como suma de los fondos líquidos más los derechos pendientes de cobro, deduciendo las obligaciones pendientes de pago y agregando las partidas pendientes de aplicación. Hay que ajustar el resultado con la financiación afectada y los saldos de dudoso cobro.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Mensual.</w:t>
      </w:r>
    </w:p>
    <w:p>
      <w:pPr>
        <w:pStyle w:val="DiccionarioT2"/>
      </w:pPr>
      <w:bookmarkStart w:name="_Toc598659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