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210121">
            <w:r>
              <w:rPr>
                <w:rStyle w:val="Hyperlink"/>
              </w:rPr>
              <w:t>Dimensiones - Dimensiones específicas de Contabilidad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_Toc3210121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101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_Toc3210122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21012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_Toc3210123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210121" w:id="1"/>
      <w:r>
        <w:t>Dimensiones - Dimensiones específicas de Contabilidad</w:t>
      </w:r>
      <w:bookmarkEnd w:id="1"/>
    </w:p>
    <w:p>
      <w:pPr>
        <w:pStyle w:val="DiccionarioT2"/>
      </w:pPr>
      <w:bookmarkStart w:name="_Toc32101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esta área de análisis se incluyen las siguientes dimensiones:</w:t>
      </w:r>
    </w:p>
    <w:p>
      <w:pPr>
        <w:spacing w:before="269" w:after="269"/>
        <w:ind w:left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Dimensiones específicas: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Tercero: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Definición genérica de personas o empresas que tienen una relación con la Universidad.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Documento contable: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denomina documento contable al soporte de las anotaciones contables que se realicen como consecuencia de las operaciones de gestión del presupuesto de una Entidad Pública.</w:t>
      </w:r>
    </w:p>
    <w:p>
      <w:pPr>
        <w:spacing w:before="269" w:after="269"/>
        <w:ind w:left="156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2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Número del documento: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identificador único de cada documento contable.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Asiento de operaciones: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denomina asiento de operaciones al proceso mediante el cual el sistema realiza la ejecución presupuestaria que corresponda a la entidad en cuestión.</w:t>
      </w:r>
    </w:p>
    <w:p>
      <w:pPr>
        <w:spacing w:before="269" w:after="269"/>
        <w:ind w:left="156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2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Fecha del asiento</w:t>
      </w:r>
      <w:r>
        <w:rPr>
          <w:rFonts w:ascii="Calibri" w:hAnsi="Calibri"/>
          <w:b w:val="false"/>
          <w:i w:val="false"/>
          <w:color w:val="000000"/>
          <w:sz w:val="22"/>
          <w:u w:val="single"/>
        </w:rPr>
        <w:t>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fecha en la que se realiza el asiento.</w:t>
      </w:r>
    </w:p>
    <w:p>
      <w:pPr>
        <w:pStyle w:val="DiccionarioT2"/>
      </w:pPr>
      <w:bookmarkStart w:name="_Toc321012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4">
    <w:abstractNumId w:val="1"/>
    <w:lvlOverride w:ilvl="2">
      <w:startOverride w:val="1"/>
      <w:lvl w:ilvl="2">
        <w:numFmt w:val="bullet"/>
        <w:lvlText w:val=""/>
        <w:pPr>
          <w:ind w:left="2160" w:hanging="360"/>
        </w:pPr>
        <w:rPr>
          <w:rFonts w:hint="default" w:ascii="Wingdings" w:hAnsi="Wingdings"/>
        </w:rPr>
      </w:lvl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