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45901">
            <w:r>
              <w:rPr>
                <w:rStyle w:val="Hyperlink"/>
              </w:rPr>
              <w:t>Indicador - Importe de contratos y convenios del Art 83 - Fundaciones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_Toc9745901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45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_Toc9745902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459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_Toc9745903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45901" w:id="1"/>
      <w:r>
        <w:t>Indicador - Importe de contratos y convenios del Art 83 - Fundaciones (€)</w:t>
      </w:r>
      <w:bookmarkEnd w:id="1"/>
    </w:p>
    <w:p>
      <w:pPr>
        <w:pStyle w:val="DiccionarioT2"/>
      </w:pPr>
      <w:bookmarkStart w:name="_Toc9745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de los derechos reconocidos en el presupuesto liquidado en el año (n) por la Universidad, correspondientes a los contratos realizados en dicha anualidad, así como los derechos análogos a los contratos formalizados en anteriores anualidades, pero que están vigentes en el año (n) , clasificados: i) según origen de la financiación- pública y privada-; ii) según procedencia geográfica de la institución/organismo contratante–regional (de la CCAA), nacional, Europa y resto del mundo- Presupuestariamente, estos derechos se contabilizan en el capítulo tres, artículo 32,</w:t>
      </w:r>
    </w:p>
    <w:p>
      <w:pPr>
        <w:pStyle w:val="DiccionarioT2"/>
      </w:pPr>
      <w:bookmarkStart w:name="_Toc97459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SIGOTT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del importe de contratos y convenios del Artículo 83 - Fundaciones.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