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737061">
            <w:r>
              <w:rPr>
                <w:rStyle w:val="Hyperlink"/>
              </w:rPr>
              <w:t>Indicador - Plazo medio de operaciones a las que se ha dado la conformidad (Días)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_Toc5737061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73706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_Toc5737062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73706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_Toc5737063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73706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_Toc5737064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737061" w:id="1"/>
      <w:r>
        <w:t>Indicador - Plazo medio de operaciones a las que se ha dado la conformidad (Días)</w:t>
      </w:r>
      <w:bookmarkEnd w:id="1"/>
    </w:p>
    <w:p>
      <w:pPr>
        <w:pStyle w:val="DiccionarioT2"/>
      </w:pPr>
      <w:bookmarkStart w:name="_Toc573706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 un indicador que mide el plazo medio de operaciones a las que se ha dado la conformidad.</w:t>
      </w:r>
    </w:p>
    <w:p>
      <w:pPr>
        <w:pStyle w:val="DiccionarioT2"/>
      </w:pPr>
      <w:bookmarkStart w:name="_Toc573706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> Suma (número de días de aprobación * importe de la operación)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> Importe total de las operaciones aprobadas.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573706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20/10/2026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