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921821">
            <w:r>
              <w:rPr>
                <w:rStyle w:val="Hyperlink"/>
              </w:rPr>
              <w:t>Indicador - Ratio de operaciones pendientes de pago (Días)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_Toc2921821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218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_Toc2921822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218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_Toc2921823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218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_Toc2921824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921821" w:id="1"/>
      <w:r>
        <w:t>Indicador - Ratio de operaciones pendientes de pago (Días)</w:t>
      </w:r>
      <w:bookmarkEnd w:id="1"/>
    </w:p>
    <w:p>
      <w:pPr>
        <w:pStyle w:val="DiccionarioT2"/>
      </w:pPr>
      <w:bookmarkStart w:name="_Toc29218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un indicador que mide el número de días promedio de antigüedad de las operaciones pendientes de pago a final del período de cálculo</w:t>
      </w:r>
    </w:p>
    <w:p>
      <w:pPr>
        <w:pStyle w:val="DiccionarioT2"/>
      </w:pPr>
      <w:bookmarkStart w:name="_Toc29218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(número de días pendientes de pago * importe de la operación pendiente de pago).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Importe total de pagos pendientes.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29218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