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436411">
            <w:r>
              <w:rPr>
                <w:rStyle w:val="Hyperlink"/>
              </w:rPr>
              <w:t>Indicador - Cobertura de los gastos corrientes por la nominativa de la CM (%)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_Toc3436411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4364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_Toc3436412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43641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_Toc3436413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436411" w:id="1"/>
      <w:r>
        <w:t>Indicador - Cobertura de los gastos corrientes por la nominativa de la CM (%)</w:t>
      </w:r>
      <w:bookmarkEnd w:id="1"/>
    </w:p>
    <w:p>
      <w:pPr>
        <w:pStyle w:val="DiccionarioT2"/>
      </w:pPr>
      <w:bookmarkStart w:name="_Toc34364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Porcentaje de cobertura de la trasferencia nominativa de la CM sobre los capítulos 1 y 2 de gastos</w:t>
      </w:r>
    </w:p>
    <w:p>
      <w:pPr>
        <w:pStyle w:val="DiccionarioT2"/>
      </w:pPr>
      <w:bookmarkStart w:name="_Toc343641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> Derechos reconocidos netos procedentes de la transferencia nominativa de la Comunidad (I)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Suma de las Obligaciones reconocidas netas de los Capítulos 1 y 2 (G)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(I-00-14 del Subconcepto 450.00) / (G-00-26 de los C1 y 2)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