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602221">
            <w:r>
              <w:rPr>
                <w:rStyle w:val="Hyperlink"/>
              </w:rPr>
              <w:t>Indicador - Cobertura de los gastos de personal por la nominativa de la CM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_Toc6602221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6022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_Toc6602222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6022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_Toc6602223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6022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_Toc6602224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602221" w:id="1"/>
      <w:r>
        <w:t>Indicador - Cobertura de los gastos de personal por la nominativa de la CM (%)</w:t>
      </w:r>
      <w:bookmarkEnd w:id="1"/>
    </w:p>
    <w:p>
      <w:pPr>
        <w:pStyle w:val="DiccionarioT2"/>
      </w:pPr>
      <w:bookmarkStart w:name="_Toc66022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cobertura de la trasferencia nominativa de la CM sobre el capítulo 1 de gastos de personal</w:t>
      </w:r>
    </w:p>
    <w:p>
      <w:pPr>
        <w:pStyle w:val="DiccionarioT2"/>
      </w:pPr>
      <w:bookmarkStart w:name="_Toc66022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Derechos reconocidos netos procedentes de la transferencia nominativa de la Comunidad (I)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Obligaciones reconocidas netas del Capítulo 1 (G)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(I-00-14 del Subconcepto 450.00) / (G-00-26 de los C1)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66022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