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48561">
            <w:r>
              <w:rPr>
                <w:rStyle w:val="Hyperlink"/>
              </w:rPr>
              <w:t>Indicador - Saldo presupuestario total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_Toc5948561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85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_Toc5948562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85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_Toc5948563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85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_Toc5948564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48561" w:id="1"/>
      <w:r>
        <w:t>Indicador - Saldo presupuestario total (€)</w:t>
      </w:r>
      <w:bookmarkEnd w:id="1"/>
    </w:p>
    <w:p>
      <w:pPr>
        <w:pStyle w:val="DiccionarioT2"/>
      </w:pPr>
      <w:bookmarkStart w:name="_Toc59485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un campo calculado que tienen en cuenta la diferencia entre los ingresos reconocidos netos de los capítulos 3 a 9 y los gastos de los capítulos 1 a 9</w:t>
      </w:r>
    </w:p>
    <w:p>
      <w:pPr>
        <w:pStyle w:val="DiccionarioT2"/>
      </w:pPr>
      <w:bookmarkStart w:name="_Toc59485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(Suma de los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ingresos reconocidos netos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de los Capítulos 3, 4, 5, 6, 7, 8 y 9) - (Suma de las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de los Capítulos 1, 2, 3, 4, 5, 6, 7, 8 y 9). ([I-00-14] - [G-00-26])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59485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3" Type="http://schemas.openxmlformats.org/officeDocument/2006/relationships/hyperlink" Id="rId16"/>
    <Relationship TargetMode="External" Target="EditConcept.action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