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687141">
            <w:r>
              <w:rPr>
                <w:rStyle w:val="Hyperlink"/>
              </w:rPr>
              <w:t>Indicador - Saldo presupuestario no financiero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_Toc2687141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871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_Toc2687142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871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_Toc2687143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871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_Toc2687144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687141" w:id="1"/>
      <w:r>
        <w:t>Indicador - Saldo presupuestario no financiero (€)</w:t>
      </w:r>
      <w:bookmarkEnd w:id="1"/>
    </w:p>
    <w:p>
      <w:pPr>
        <w:pStyle w:val="DiccionarioT2"/>
      </w:pPr>
      <w:bookmarkStart w:name="_Toc26871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un campo calculado que tienen en cuenta la diferencia entre los ingresos reconocidos netos de los capítulos 3 a 7 y los gastos de los capítulos 1 a 7</w:t>
      </w:r>
    </w:p>
    <w:p>
      <w:pPr>
        <w:pStyle w:val="DiccionarioT2"/>
      </w:pPr>
      <w:bookmarkStart w:name="_Toc26871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(Suma de los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ingresos reconocidos netos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 de los Capítulos 3, 4, 5, 6 y 7) - (Suma de las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reconocidas netas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de los Capítulos 1, 2, 3, 4, 5, 6, y 7). ([I-00-14] - [G-00-26])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26871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93" Type="http://schemas.openxmlformats.org/officeDocument/2006/relationships/hyperlink" Id="rId16"/>
    <Relationship TargetMode="External" Target="PreviewConcept.action?conceptCode=10785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