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649631">
            <w:r>
              <w:rPr>
                <w:rStyle w:val="Hyperlink"/>
              </w:rPr>
              <w:t>Indicador - Tasa de Acoplamiento cobros y pagos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_Toc5649631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6496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_Toc5649632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6496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_Toc5649633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649631" w:id="1"/>
      <w:r>
        <w:t>Indicador - Tasa de Acoplamiento cobros y pagos (%)</w:t>
      </w:r>
      <w:bookmarkEnd w:id="1"/>
    </w:p>
    <w:p>
      <w:pPr>
        <w:pStyle w:val="DiccionarioT2"/>
      </w:pPr>
      <w:bookmarkStart w:name="_Toc56496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acoplamiento que se obtiene de las cantidades liquidadas en los estados de ingresos (derechos) y gastos (obligaciones) de la Universidad</w:t>
      </w:r>
    </w:p>
    <w:p>
      <w:pPr>
        <w:pStyle w:val="DiccionarioT2"/>
      </w:pPr>
      <w:bookmarkStart w:name="_Toc56496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Derechos cobrados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Obligaciones pagadas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(I-00-15/G-00-48)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94" Type="http://schemas.openxmlformats.org/officeDocument/2006/relationships/hyperlink" Id="rId16"/>
    <Relationship TargetMode="External" Target="PreviewConcept.action?conceptCode=10788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