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548971">
            <w:r>
              <w:rPr>
                <w:rStyle w:val="Hyperlink"/>
              </w:rPr>
              <w:t>Indicador - Ejecución del presupuesto de ingresos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_Toc5548971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5489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_Toc5548972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5489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_Toc5548973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548971" w:id="1"/>
      <w:r>
        <w:t>Indicador - Ejecución del presupuesto de ingresos (%)</w:t>
      </w:r>
      <w:bookmarkEnd w:id="1"/>
    </w:p>
    <w:p>
      <w:pPr>
        <w:pStyle w:val="DiccionarioT2"/>
      </w:pPr>
      <w:bookmarkStart w:name="_Toc55489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Refleja el grado de materialización de las previsiones definitivas de ingresos en derechos reconocidos netos mediante la ejecución del presupuesto de ingresos.</w:t>
      </w:r>
    </w:p>
    <w:p>
      <w:pPr>
        <w:pStyle w:val="DiccionarioT2"/>
      </w:pPr>
      <w:bookmarkStart w:name="_Toc55489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Suma de los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ingresos reconocidos netos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Previsiones definitivas.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 / [I-00-4]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3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