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45091">
            <w:r>
              <w:rPr>
                <w:rStyle w:val="Hyperlink"/>
              </w:rPr>
              <w:t>Indicador - Relación de los ingresos de investigación sobre los ingresos totales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_Toc8945091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5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_Toc8945092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5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_Toc8945093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45091" w:id="1"/>
      <w:r>
        <w:t>Indicador - Relación de los ingresos de investigación sobre los ingresos totales (%)</w:t>
      </w:r>
      <w:bookmarkEnd w:id="1"/>
    </w:p>
    <w:p>
      <w:pPr>
        <w:pStyle w:val="DiccionarioT2"/>
      </w:pPr>
      <w:bookmarkStart w:name="_Toc8945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que representan los derechos reconocidos netos procedentes de investigación con respecto a los ingresos de los capítulos 3 a 9</w:t>
      </w:r>
    </w:p>
    <w:p>
      <w:pPr>
        <w:pStyle w:val="DiccionarioT2"/>
      </w:pPr>
      <w:bookmarkStart w:name="_Toc8945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de los ingresos reconocidos netos de investigación. Los derechos reconocidos netos para investigación, se obtienen de las siguientes orgánicas: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18.21.05%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18.36%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18.34.05%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18.34.06%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Exceptuando las siguientes económicas, en todos los casos: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-      Artículo 31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-      Capítulos 8 y 9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Ingresos totales (Capítulos 3, 4, 5, 6, 7, 8 y 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