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703881">
            <w:r>
              <w:rPr>
                <w:rStyle w:val="Hyperlink"/>
              </w:rPr>
              <w:t>Indicador - Ratio de los ingresos del C3 sobre los ingresos totales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_Toc9703881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038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_Toc9703882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038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_Toc9703883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703881" w:id="1"/>
      <w:r>
        <w:t>Indicador - Ratio de los ingresos del C3 sobre los ingresos totales (%)</w:t>
      </w:r>
      <w:bookmarkEnd w:id="1"/>
    </w:p>
    <w:p>
      <w:pPr>
        <w:pStyle w:val="DiccionarioT2"/>
      </w:pPr>
      <w:bookmarkStart w:name="_Toc97038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que representan los derechos reconocidos netos procedentes del Capítulo 3 con respecto a los ingresos de los capítulos 3 a 9</w:t>
      </w:r>
    </w:p>
    <w:p>
      <w:pPr>
        <w:pStyle w:val="DiccionarioT2"/>
      </w:pPr>
      <w:bookmarkStart w:name="_Toc97038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de los ingresos reconocidos netos del Capítulo 3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Ingresos totales (Capítulos 3, 4, 5, 6, 7, 8 y 9)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