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605371">
            <w:r>
              <w:rPr>
                <w:rStyle w:val="Hyperlink"/>
              </w:rPr>
              <w:t>Indicador - Ratio de financiación vía transferencia nominativa de la Comunidad Autónoma de la que depende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_Toc7605371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053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_Toc7605372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053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_Toc7605373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053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_Toc7605374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605371" w:id="1"/>
      <w:r>
        <w:t>Indicador - Ratio de financiación vía transferencia nominativa de la Comunidad Autónoma de la que depende (%)</w:t>
      </w:r>
      <w:bookmarkEnd w:id="1"/>
    </w:p>
    <w:p>
      <w:pPr>
        <w:pStyle w:val="DiccionarioT2"/>
      </w:pPr>
      <w:bookmarkStart w:name="_Toc76053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Ratio de financiación vía transferencia nominativa de la Comunidad Autónoma de la que depende sobre los ingresos totales de la Universidad</w:t>
      </w:r>
    </w:p>
    <w:p>
      <w:pPr>
        <w:pStyle w:val="DiccionarioT2"/>
      </w:pPr>
      <w:bookmarkStart w:name="_Toc76053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Transferencia nominativa de la CA (Subconcepto 450.00)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Ingresos totales.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p>
      <w:pPr>
        <w:pStyle w:val="DiccionarioT2"/>
      </w:pPr>
      <w:bookmarkStart w:name="_Toc76053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17/09/2026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