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516341">
            <w:r>
              <w:rPr>
                <w:rStyle w:val="Hyperlink"/>
              </w:rPr>
              <w:t>Indicador - Transferencia para inversiones generales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_Toc8516341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163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_Toc8516342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163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_Toc8516343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516341" w:id="1"/>
      <w:r>
        <w:t>Indicador - Transferencia para inversiones generales (€)</w:t>
      </w:r>
      <w:bookmarkEnd w:id="1"/>
    </w:p>
    <w:p>
      <w:pPr>
        <w:pStyle w:val="DiccionarioT2"/>
      </w:pPr>
      <w:bookmarkStart w:name="_Toc85163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Transferencia recibida de la Comunidad de la que depende cuyo destino son gastos de inversión (RMS)</w:t>
      </w:r>
    </w:p>
    <w:p>
      <w:pPr>
        <w:pStyle w:val="DiccionarioT2"/>
      </w:pPr>
      <w:bookmarkStart w:name="_Toc85163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los derechos reconocidos netos por transferencias de la Comunidad de Madrid para gastos de inversión. Subconcepto 750.00. (I-00-14)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