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78641">
            <w:r>
              <w:rPr>
                <w:rStyle w:val="Hyperlink"/>
              </w:rPr>
              <w:t>Indicador - Ratio de la financiación exterior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_Toc4878641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78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_Toc4878642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78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_Toc4878643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786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_Toc4878644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78641" w:id="1"/>
      <w:r>
        <w:t>Indicador - Ratio de la financiación exterior sobre la total (%)</w:t>
      </w:r>
      <w:bookmarkEnd w:id="1"/>
    </w:p>
    <w:p>
      <w:pPr>
        <w:pStyle w:val="DiccionarioT2"/>
      </w:pPr>
      <w:bookmarkStart w:name="_Toc4878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exterior sobre la total</w:t>
      </w:r>
    </w:p>
    <w:p>
      <w:pPr>
        <w:pStyle w:val="DiccionarioT2"/>
      </w:pPr>
      <w:bookmarkStart w:name="_Toc4878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exterior.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48786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7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