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613691">
            <w:r>
              <w:rPr>
                <w:rStyle w:val="Hyperlink"/>
              </w:rPr>
              <w:t>Indicador - Realización de pagos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_Toc8613691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136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_Toc8613692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136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_Toc8613693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136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_Toc8613694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613691" w:id="1"/>
      <w:r>
        <w:t>Indicador - Realización de pagos (%)</w:t>
      </w:r>
      <w:bookmarkEnd w:id="1"/>
    </w:p>
    <w:p>
      <w:pPr>
        <w:pStyle w:val="DiccionarioT2"/>
      </w:pPr>
      <w:bookmarkStart w:name="_Toc86136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indicador mide el grado de realización de los pagos respecto de las Obligaciones reconocidas netas.</w:t>
      </w:r>
    </w:p>
    <w:p>
      <w:pPr>
        <w:pStyle w:val="DiccionarioT2"/>
      </w:pPr>
      <w:bookmarkStart w:name="_Toc86136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pagadas.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reconocidas netas.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(G-00- Se calcula como 48/26)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p>
      <w:pPr>
        <w:pStyle w:val="DiccionarioT2"/>
      </w:pPr>
      <w:bookmarkStart w:name="_Toc86136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88" Type="http://schemas.openxmlformats.org/officeDocument/2006/relationships/hyperlink" Id="rId16"/>
    <Relationship TargetMode="External" Target="PreviewConcept.action?conceptCode=10785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