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1441">
            <w:r>
              <w:rPr>
                <w:rStyle w:val="Hyperlink"/>
              </w:rPr>
              <w:t>Indicador - Ejecución del presupuesto de gastos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_Toc141441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14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_Toc141442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14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_Toc141443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14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_Toc141444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1441" w:id="1"/>
      <w:r>
        <w:t>Indicador - Ejecución del presupuesto de gastos (%)</w:t>
      </w:r>
      <w:bookmarkEnd w:id="1"/>
    </w:p>
    <w:p>
      <w:pPr>
        <w:pStyle w:val="DiccionarioT2"/>
      </w:pPr>
      <w:bookmarkStart w:name="_Toc1414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Refleja el grado de ejecución del presupuesto de gastos respecto de los créditos definitivos consignados en el presupuesto de gastos.</w:t>
      </w:r>
    </w:p>
    <w:p>
      <w:pPr>
        <w:pStyle w:val="DiccionarioT2"/>
      </w:pPr>
      <w:bookmarkStart w:name="_Toc1414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Numerador: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Denominador: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presupuestarios definitivos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26/39)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1414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5" Type="http://schemas.openxmlformats.org/officeDocument/2006/relationships/hyperlink" Id="rId16"/>
    <Relationship TargetMode="External" Target="PreviewConcept.action?conceptCode=1079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