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94641">
            <w:r>
              <w:rPr>
                <w:rStyle w:val="Hyperlink"/>
              </w:rPr>
              <w:t>Indicador - Ejecución del presupuesto de gastos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_Toc3094641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94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_Toc3094642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94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_Toc3094643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94641" w:id="1"/>
      <w:r>
        <w:t>Indicador - Ejecución del presupuesto de gastos (%)</w:t>
      </w:r>
      <w:bookmarkEnd w:id="1"/>
    </w:p>
    <w:p>
      <w:pPr>
        <w:pStyle w:val="DiccionarioT2"/>
      </w:pPr>
      <w:bookmarkStart w:name="_Toc3094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Refleja el grado de ejecución del presupuesto de gastos respecto de los créditos definitivos consignados en el presupuesto de gastos.</w:t>
      </w:r>
    </w:p>
    <w:p>
      <w:pPr>
        <w:pStyle w:val="DiccionarioT2"/>
      </w:pPr>
      <w:bookmarkStart w:name="_Toc3094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Numerador: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Denominador: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 definitivos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26/39)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9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