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490601">
            <w:r>
              <w:rPr>
                <w:rStyle w:val="Hyperlink"/>
              </w:rPr>
              <w:t>Indicador - Obligaciones pagadas de ejercicios anteriores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_Toc2490601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4906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_Toc2490602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4906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_Toc2490603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49060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_Toc2490604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490601" w:id="1"/>
      <w:r>
        <w:t>Indicador - Obligaciones pagadas de ejercicios anteriores (€)</w:t>
      </w:r>
      <w:bookmarkEnd w:id="1"/>
    </w:p>
    <w:p>
      <w:pPr>
        <w:pStyle w:val="DiccionarioT2"/>
      </w:pPr>
      <w:bookmarkStart w:name="_Toc24906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Importes en euros del total de las obligaciones pagadas del presupuesto de gastos de ejercicios anteriores, correspondientes al conjunto de los centros universitarios propios de la Universidad</w:t>
      </w:r>
    </w:p>
    <w:p>
      <w:pPr>
        <w:pStyle w:val="DiccionarioT2"/>
      </w:pPr>
      <w:bookmarkStart w:name="_Toc24906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Pagos Netos año n-x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Pagos Netos n-x (G-01-25)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249060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02/09/2026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