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037661">
            <w:r>
              <w:rPr>
                <w:rStyle w:val="Hyperlink"/>
              </w:rPr>
              <w:t>Indicador - Coeficiente de Desviación de gastos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_Toc9037661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376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_Toc9037662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376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_Toc9037663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037661" w:id="1"/>
      <w:r>
        <w:t>Indicador - Coeficiente de Desviación de gastos (%)</w:t>
      </w:r>
      <w:bookmarkEnd w:id="1"/>
    </w:p>
    <w:p>
      <w:pPr>
        <w:pStyle w:val="DiccionarioT2"/>
      </w:pPr>
      <w:bookmarkStart w:name="_Toc90376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Coeficiente, expresados en términos porcentuales, de desviación del presupuesto de gastos.</w:t>
      </w:r>
    </w:p>
    <w:p>
      <w:pPr>
        <w:pStyle w:val="DiccionarioT2"/>
      </w:pPr>
      <w:bookmarkStart w:name="_Toc90376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 (Obligaciones reconocidas -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G-00- Se calcula como [26-1]/[1]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64" Type="http://schemas.openxmlformats.org/officeDocument/2006/relationships/hyperlink" Id="rId16"/>
    <Relationship TargetMode="External" Target="PreviewConcept.action?conceptCode=1076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